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0B1" w:rsidRDefault="00657D5C" w:rsidP="00713CFE">
      <w:pPr>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-313690</wp:posOffset>
                </wp:positionH>
                <wp:positionV relativeFrom="paragraph">
                  <wp:posOffset>-57150</wp:posOffset>
                </wp:positionV>
                <wp:extent cx="1076325" cy="9334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9334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D00B1" w:rsidRPr="00720A97" w:rsidRDefault="00DD00B1">
                            <w:pPr>
                              <w:rPr>
                                <w:rFonts w:ascii="Times New Roman" w:hAnsi="Times New Roman"/>
                                <w:b/>
                                <w:sz w:val="32"/>
                                <w:szCs w:val="32"/>
                              </w:rPr>
                            </w:pPr>
                            <w:r w:rsidRPr="00720A97">
                              <w:rPr>
                                <w:rFonts w:ascii="Times New Roman" w:hAnsi="Times New Roman"/>
                                <w:b/>
                                <w:sz w:val="32"/>
                                <w:szCs w:val="32"/>
                              </w:rPr>
                              <w:t>Beckford</w:t>
                            </w:r>
                          </w:p>
                          <w:p w:rsidR="00DD00B1" w:rsidRPr="00720A97" w:rsidRDefault="00DD00B1">
                            <w:pPr>
                              <w:rPr>
                                <w:rFonts w:ascii="Times New Roman" w:hAnsi="Times New Roman"/>
                                <w:b/>
                                <w:sz w:val="32"/>
                                <w:szCs w:val="32"/>
                              </w:rPr>
                            </w:pPr>
                            <w:r w:rsidRPr="00720A97">
                              <w:rPr>
                                <w:rFonts w:ascii="Times New Roman" w:hAnsi="Times New Roman"/>
                                <w:b/>
                                <w:sz w:val="32"/>
                                <w:szCs w:val="32"/>
                              </w:rPr>
                              <w:t xml:space="preserve">Tower </w:t>
                            </w:r>
                          </w:p>
                          <w:p w:rsidR="00DD00B1" w:rsidRPr="00720A97" w:rsidRDefault="00DD00B1">
                            <w:pPr>
                              <w:rPr>
                                <w:rFonts w:ascii="Times New Roman" w:hAnsi="Times New Roman"/>
                                <w:b/>
                                <w:sz w:val="32"/>
                                <w:szCs w:val="32"/>
                              </w:rPr>
                            </w:pPr>
                            <w:r w:rsidRPr="00720A97">
                              <w:rPr>
                                <w:rFonts w:ascii="Times New Roman" w:hAnsi="Times New Roman"/>
                                <w:b/>
                                <w:sz w:val="32"/>
                                <w:szCs w:val="32"/>
                              </w:rPr>
                              <w:t>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7pt;margin-top:-4.5pt;width:84.75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" stroked="f" strokeweight=".5pt">
                <v:textbox>
                  <w:txbxContent>
                    <w:p w:rsidR="00DD00B1" w:rsidRPr="00720A97" w:rsidRDefault="00DD00B1">
                      <w:pPr>
                        <w:rPr>
                          <w:rFonts w:ascii="Times New Roman" w:hAnsi="Times New Roman"/>
                          <w:b/>
                          <w:sz w:val="32"/>
                          <w:szCs w:val="32"/>
                        </w:rPr>
                      </w:pPr>
                      <w:r w:rsidRPr="00720A97">
                        <w:rPr>
                          <w:rFonts w:ascii="Times New Roman" w:hAnsi="Times New Roman"/>
                          <w:b/>
                          <w:sz w:val="32"/>
                          <w:szCs w:val="32"/>
                        </w:rPr>
                        <w:t>Beckford</w:t>
                      </w:r>
                    </w:p>
                    <w:p w:rsidR="00DD00B1" w:rsidRPr="00720A97" w:rsidRDefault="00DD00B1">
                      <w:pPr>
                        <w:rPr>
                          <w:rFonts w:ascii="Times New Roman" w:hAnsi="Times New Roman"/>
                          <w:b/>
                          <w:sz w:val="32"/>
                          <w:szCs w:val="32"/>
                        </w:rPr>
                      </w:pPr>
                      <w:r w:rsidRPr="00720A97">
                        <w:rPr>
                          <w:rFonts w:ascii="Times New Roman" w:hAnsi="Times New Roman"/>
                          <w:b/>
                          <w:sz w:val="32"/>
                          <w:szCs w:val="32"/>
                        </w:rPr>
                        <w:t xml:space="preserve">Tower </w:t>
                      </w:r>
                    </w:p>
                    <w:p w:rsidR="00DD00B1" w:rsidRPr="00720A97" w:rsidRDefault="00DD00B1">
                      <w:pPr>
                        <w:rPr>
                          <w:rFonts w:ascii="Times New Roman" w:hAnsi="Times New Roman"/>
                          <w:b/>
                          <w:sz w:val="32"/>
                          <w:szCs w:val="32"/>
                        </w:rPr>
                      </w:pPr>
                      <w:r w:rsidRPr="00720A97">
                        <w:rPr>
                          <w:rFonts w:ascii="Times New Roman" w:hAnsi="Times New Roman"/>
                          <w:b/>
                          <w:sz w:val="32"/>
                          <w:szCs w:val="32"/>
                        </w:rPr>
                        <w:t>Trust</w:t>
                      </w:r>
                    </w:p>
                  </w:txbxContent>
                </v:textbox>
              </v:shape>
            </w:pict>
          </mc:Fallback>
        </mc:AlternateContent>
      </w:r>
      <w:r w:rsidR="00936714">
        <w:rPr>
          <w:noProof/>
          <w:lang w:eastAsia="en-GB"/>
        </w:rPr>
        <w:drawing>
          <wp:anchor distT="0" distB="0" distL="114300" distR="114300" simplePos="0" relativeHeight="251656704" behindDoc="1" locked="0" layoutInCell="1" allowOverlap="1">
            <wp:simplePos x="0" y="0"/>
            <wp:positionH relativeFrom="column">
              <wp:posOffset>-76200</wp:posOffset>
            </wp:positionH>
            <wp:positionV relativeFrom="paragraph">
              <wp:posOffset>-381000</wp:posOffset>
            </wp:positionV>
            <wp:extent cx="1247775" cy="1619250"/>
            <wp:effectExtent l="0" t="0" r="9525" b="0"/>
            <wp:wrapTight wrapText="bothSides">
              <wp:wrapPolygon edited="0">
                <wp:start x="0" y="0"/>
                <wp:lineTo x="0" y="21346"/>
                <wp:lineTo x="21435" y="21346"/>
                <wp:lineTo x="21435"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1619250"/>
                    </a:xfrm>
                    <a:prstGeom prst="rect">
                      <a:avLst/>
                    </a:prstGeom>
                    <a:noFill/>
                  </pic:spPr>
                </pic:pic>
              </a:graphicData>
            </a:graphic>
          </wp:anchor>
        </w:drawing>
      </w:r>
    </w:p>
    <w:p w:rsidR="00DD00B1" w:rsidRPr="00720A97" w:rsidRDefault="00DD00B1" w:rsidP="00FF7C6F">
      <w:pPr>
        <w:jc w:val="center"/>
        <w:rPr>
          <w:b/>
          <w:sz w:val="32"/>
          <w:szCs w:val="32"/>
        </w:rPr>
      </w:pPr>
      <w:r w:rsidRPr="00720A97">
        <w:rPr>
          <w:b/>
          <w:sz w:val="32"/>
          <w:szCs w:val="32"/>
        </w:rPr>
        <w:t>News Release</w:t>
      </w:r>
    </w:p>
    <w:p w:rsidR="00DD00B1" w:rsidRDefault="00DD00B1" w:rsidP="001C0E52">
      <w:pPr>
        <w:jc w:val="center"/>
      </w:pPr>
    </w:p>
    <w:p w:rsidR="00DD00B1" w:rsidRPr="00720A97" w:rsidRDefault="00B64256" w:rsidP="001C0E52">
      <w:pPr>
        <w:jc w:val="center"/>
        <w:rPr>
          <w:sz w:val="24"/>
          <w:szCs w:val="24"/>
        </w:rPr>
      </w:pPr>
      <w:r>
        <w:rPr>
          <w:sz w:val="24"/>
          <w:szCs w:val="24"/>
        </w:rPr>
        <w:t>15 November 2011</w:t>
      </w:r>
    </w:p>
    <w:p w:rsidR="00DD00B1" w:rsidRDefault="00DD00B1" w:rsidP="001C0E52">
      <w:pPr>
        <w:jc w:val="center"/>
      </w:pPr>
    </w:p>
    <w:p w:rsidR="00DD00B1" w:rsidRPr="00720A97" w:rsidRDefault="00DD00B1" w:rsidP="001C0E52">
      <w:pPr>
        <w:jc w:val="center"/>
        <w:rPr>
          <w:b/>
          <w:sz w:val="28"/>
          <w:szCs w:val="28"/>
        </w:rPr>
      </w:pPr>
      <w:r>
        <w:rPr>
          <w:b/>
          <w:sz w:val="28"/>
          <w:szCs w:val="28"/>
        </w:rPr>
        <w:t>Unique William Beckford survival</w:t>
      </w:r>
      <w:r w:rsidRPr="00720A97">
        <w:rPr>
          <w:b/>
          <w:sz w:val="28"/>
          <w:szCs w:val="28"/>
        </w:rPr>
        <w:t xml:space="preserve"> saved for </w:t>
      </w:r>
      <w:r>
        <w:rPr>
          <w:b/>
          <w:sz w:val="28"/>
          <w:szCs w:val="28"/>
        </w:rPr>
        <w:t>the nation</w:t>
      </w:r>
    </w:p>
    <w:p w:rsidR="00DD00B1" w:rsidRDefault="00DD00B1" w:rsidP="000B16E8"/>
    <w:p w:rsidR="00DD00B1" w:rsidRDefault="00936714" w:rsidP="000B16E8">
      <w:pPr>
        <w:rPr>
          <w:sz w:val="24"/>
          <w:szCs w:val="24"/>
        </w:rPr>
      </w:pPr>
      <w:r>
        <w:rPr>
          <w:noProof/>
          <w:lang w:eastAsia="en-GB"/>
        </w:rPr>
        <w:drawing>
          <wp:anchor distT="0" distB="0" distL="114300" distR="114300" simplePos="0" relativeHeight="251658752" behindDoc="1" locked="0" layoutInCell="1" allowOverlap="1">
            <wp:simplePos x="0" y="0"/>
            <wp:positionH relativeFrom="column">
              <wp:posOffset>4165600</wp:posOffset>
            </wp:positionH>
            <wp:positionV relativeFrom="paragraph">
              <wp:posOffset>43815</wp:posOffset>
            </wp:positionV>
            <wp:extent cx="1563370" cy="1876425"/>
            <wp:effectExtent l="0" t="0" r="0" b="9525"/>
            <wp:wrapTight wrapText="bothSides">
              <wp:wrapPolygon edited="0">
                <wp:start x="0" y="0"/>
                <wp:lineTo x="0" y="21490"/>
                <wp:lineTo x="21319" y="21490"/>
                <wp:lineTo x="21319"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3370" cy="1876425"/>
                    </a:xfrm>
                    <a:prstGeom prst="rect">
                      <a:avLst/>
                    </a:prstGeom>
                    <a:noFill/>
                  </pic:spPr>
                </pic:pic>
              </a:graphicData>
            </a:graphic>
          </wp:anchor>
        </w:drawing>
      </w:r>
      <w:r w:rsidR="00DD00B1" w:rsidRPr="00713CFE">
        <w:rPr>
          <w:sz w:val="24"/>
          <w:szCs w:val="24"/>
        </w:rPr>
        <w:t>The Beckford Tower Trust has</w:t>
      </w:r>
      <w:r w:rsidR="00DD00B1">
        <w:rPr>
          <w:sz w:val="24"/>
          <w:szCs w:val="24"/>
        </w:rPr>
        <w:t xml:space="preserve"> </w:t>
      </w:r>
      <w:r w:rsidR="00DD00B1" w:rsidRPr="00713CFE">
        <w:rPr>
          <w:sz w:val="24"/>
          <w:szCs w:val="24"/>
        </w:rPr>
        <w:t>successfully</w:t>
      </w:r>
      <w:r w:rsidR="00DD00B1">
        <w:rPr>
          <w:sz w:val="24"/>
          <w:szCs w:val="24"/>
        </w:rPr>
        <w:t xml:space="preserve"> secured </w:t>
      </w:r>
      <w:r w:rsidR="00DD00B1" w:rsidRPr="00713CFE">
        <w:rPr>
          <w:sz w:val="24"/>
          <w:szCs w:val="24"/>
        </w:rPr>
        <w:t>a</w:t>
      </w:r>
      <w:r w:rsidR="00DD00B1">
        <w:rPr>
          <w:sz w:val="24"/>
          <w:szCs w:val="24"/>
        </w:rPr>
        <w:t xml:space="preserve"> rare c</w:t>
      </w:r>
      <w:r w:rsidR="00DD00B1" w:rsidRPr="00713CFE">
        <w:rPr>
          <w:sz w:val="24"/>
          <w:szCs w:val="24"/>
        </w:rPr>
        <w:t>offer cabinet</w:t>
      </w:r>
      <w:r w:rsidR="00DD00B1">
        <w:rPr>
          <w:sz w:val="24"/>
          <w:szCs w:val="24"/>
        </w:rPr>
        <w:t xml:space="preserve"> and s</w:t>
      </w:r>
      <w:r w:rsidR="00DD00B1" w:rsidRPr="00713CFE">
        <w:rPr>
          <w:sz w:val="24"/>
          <w:szCs w:val="24"/>
        </w:rPr>
        <w:t xml:space="preserve">tand </w:t>
      </w:r>
      <w:r w:rsidR="00DD00B1">
        <w:rPr>
          <w:sz w:val="24"/>
          <w:szCs w:val="24"/>
        </w:rPr>
        <w:t xml:space="preserve">made </w:t>
      </w:r>
      <w:r w:rsidR="00DD00B1" w:rsidRPr="00713CFE">
        <w:rPr>
          <w:sz w:val="24"/>
          <w:szCs w:val="24"/>
        </w:rPr>
        <w:t>for the famous</w:t>
      </w:r>
      <w:r w:rsidR="00DD00B1">
        <w:rPr>
          <w:sz w:val="24"/>
          <w:szCs w:val="24"/>
        </w:rPr>
        <w:t xml:space="preserve"> and </w:t>
      </w:r>
      <w:r w:rsidR="00DD00B1" w:rsidRPr="00713CFE">
        <w:rPr>
          <w:sz w:val="24"/>
          <w:szCs w:val="24"/>
        </w:rPr>
        <w:t>eccentric 19</w:t>
      </w:r>
      <w:r w:rsidR="00DD00B1" w:rsidRPr="00713CFE">
        <w:rPr>
          <w:sz w:val="24"/>
          <w:szCs w:val="24"/>
          <w:vertAlign w:val="superscript"/>
        </w:rPr>
        <w:t>th</w:t>
      </w:r>
      <w:r w:rsidR="00DD00B1" w:rsidRPr="00713CFE">
        <w:rPr>
          <w:sz w:val="24"/>
          <w:szCs w:val="24"/>
        </w:rPr>
        <w:t xml:space="preserve"> century collector</w:t>
      </w:r>
      <w:r w:rsidR="00DD00B1">
        <w:rPr>
          <w:sz w:val="24"/>
          <w:szCs w:val="24"/>
        </w:rPr>
        <w:t>,</w:t>
      </w:r>
      <w:r w:rsidR="00DD00B1" w:rsidRPr="00713CFE">
        <w:rPr>
          <w:sz w:val="24"/>
          <w:szCs w:val="24"/>
        </w:rPr>
        <w:t xml:space="preserve"> William Beckford (1760-1844)</w:t>
      </w:r>
      <w:r w:rsidR="00DD00B1">
        <w:rPr>
          <w:sz w:val="24"/>
          <w:szCs w:val="24"/>
        </w:rPr>
        <w:t xml:space="preserve">.   </w:t>
      </w:r>
    </w:p>
    <w:p w:rsidR="00DD00B1" w:rsidRPr="00713CFE" w:rsidRDefault="00DD00B1" w:rsidP="000B16E8">
      <w:pPr>
        <w:rPr>
          <w:sz w:val="24"/>
          <w:szCs w:val="24"/>
        </w:rPr>
      </w:pPr>
      <w:r>
        <w:rPr>
          <w:sz w:val="24"/>
          <w:szCs w:val="24"/>
        </w:rPr>
        <w:t xml:space="preserve">It was saved thanks to £148,000 from </w:t>
      </w:r>
      <w:r w:rsidRPr="00713CFE">
        <w:rPr>
          <w:sz w:val="24"/>
          <w:szCs w:val="24"/>
        </w:rPr>
        <w:t>National Heritage Memorial Fund</w:t>
      </w:r>
      <w:r>
        <w:rPr>
          <w:sz w:val="24"/>
          <w:szCs w:val="24"/>
        </w:rPr>
        <w:t xml:space="preserve"> (NHMF)</w:t>
      </w:r>
      <w:r w:rsidRPr="00713CFE">
        <w:rPr>
          <w:sz w:val="24"/>
          <w:szCs w:val="24"/>
        </w:rPr>
        <w:t xml:space="preserve">, </w:t>
      </w:r>
      <w:r>
        <w:rPr>
          <w:sz w:val="24"/>
          <w:szCs w:val="24"/>
        </w:rPr>
        <w:t>£1</w:t>
      </w:r>
      <w:r w:rsidR="007420D3">
        <w:rPr>
          <w:sz w:val="24"/>
          <w:szCs w:val="24"/>
        </w:rPr>
        <w:t>1</w:t>
      </w:r>
      <w:r>
        <w:rPr>
          <w:sz w:val="24"/>
          <w:szCs w:val="24"/>
        </w:rPr>
        <w:t>0,000</w:t>
      </w:r>
      <w:r w:rsidR="001B0708">
        <w:rPr>
          <w:sz w:val="24"/>
          <w:szCs w:val="24"/>
        </w:rPr>
        <w:t xml:space="preserve"> from national fundraising charity the</w:t>
      </w:r>
      <w:r w:rsidRPr="00713CFE">
        <w:rPr>
          <w:sz w:val="24"/>
          <w:szCs w:val="24"/>
        </w:rPr>
        <w:t xml:space="preserve"> Art Fund </w:t>
      </w:r>
      <w:r>
        <w:rPr>
          <w:sz w:val="24"/>
          <w:szCs w:val="24"/>
        </w:rPr>
        <w:t xml:space="preserve">along with </w:t>
      </w:r>
      <w:r w:rsidRPr="00713CFE">
        <w:rPr>
          <w:sz w:val="24"/>
          <w:szCs w:val="24"/>
        </w:rPr>
        <w:t xml:space="preserve">numerous personal donations.  </w:t>
      </w:r>
    </w:p>
    <w:p w:rsidR="00DD00B1" w:rsidRDefault="00DD00B1" w:rsidP="000B16E8">
      <w:pPr>
        <w:rPr>
          <w:sz w:val="24"/>
          <w:szCs w:val="24"/>
        </w:rPr>
      </w:pPr>
    </w:p>
    <w:p w:rsidR="004742C7" w:rsidRDefault="00DD00B1" w:rsidP="000B16E8">
      <w:pPr>
        <w:rPr>
          <w:sz w:val="24"/>
          <w:szCs w:val="24"/>
        </w:rPr>
      </w:pPr>
      <w:r>
        <w:rPr>
          <w:sz w:val="24"/>
          <w:szCs w:val="24"/>
        </w:rPr>
        <w:t xml:space="preserve">Dating from the 1830s, this coffer and stand is the </w:t>
      </w:r>
      <w:r w:rsidRPr="00713CFE">
        <w:rPr>
          <w:sz w:val="24"/>
          <w:szCs w:val="24"/>
        </w:rPr>
        <w:t xml:space="preserve">only known complete </w:t>
      </w:r>
      <w:r>
        <w:rPr>
          <w:sz w:val="24"/>
          <w:szCs w:val="24"/>
        </w:rPr>
        <w:t>piece</w:t>
      </w:r>
      <w:r w:rsidRPr="00713CFE">
        <w:rPr>
          <w:sz w:val="24"/>
          <w:szCs w:val="24"/>
        </w:rPr>
        <w:t xml:space="preserve"> </w:t>
      </w:r>
      <w:r>
        <w:rPr>
          <w:sz w:val="24"/>
          <w:szCs w:val="24"/>
        </w:rPr>
        <w:t xml:space="preserve">of furniture from </w:t>
      </w:r>
      <w:r w:rsidRPr="00713CFE">
        <w:rPr>
          <w:sz w:val="24"/>
          <w:szCs w:val="24"/>
        </w:rPr>
        <w:t xml:space="preserve">a set </w:t>
      </w:r>
      <w:r>
        <w:rPr>
          <w:sz w:val="24"/>
          <w:szCs w:val="24"/>
        </w:rPr>
        <w:t>of</w:t>
      </w:r>
      <w:r w:rsidRPr="00713CFE">
        <w:rPr>
          <w:sz w:val="24"/>
          <w:szCs w:val="24"/>
        </w:rPr>
        <w:t xml:space="preserve"> four </w:t>
      </w:r>
      <w:r>
        <w:rPr>
          <w:sz w:val="24"/>
          <w:szCs w:val="24"/>
        </w:rPr>
        <w:t xml:space="preserve">originally </w:t>
      </w:r>
      <w:r w:rsidRPr="00713CFE">
        <w:rPr>
          <w:sz w:val="24"/>
          <w:szCs w:val="24"/>
        </w:rPr>
        <w:t>created for the Scarlet Drawing Room at Beckford’s Tower in Bath</w:t>
      </w:r>
      <w:r>
        <w:rPr>
          <w:sz w:val="24"/>
          <w:szCs w:val="24"/>
        </w:rPr>
        <w:t xml:space="preserve">. </w:t>
      </w:r>
      <w:r w:rsidR="00FF7C6F">
        <w:rPr>
          <w:sz w:val="24"/>
          <w:szCs w:val="24"/>
        </w:rPr>
        <w:t xml:space="preserve"> Beckford was one of</w:t>
      </w:r>
      <w:r w:rsidR="004742C7">
        <w:rPr>
          <w:sz w:val="24"/>
          <w:szCs w:val="24"/>
        </w:rPr>
        <w:t xml:space="preserve"> the most extraordinary men of his time, who inherited a vast fortune at the age of ten.  He used his immense wealth to build Fonthil</w:t>
      </w:r>
      <w:r w:rsidR="00FF7C6F">
        <w:rPr>
          <w:sz w:val="24"/>
          <w:szCs w:val="24"/>
        </w:rPr>
        <w:t xml:space="preserve">l Abbey in Wiltshire and create one of Europe’s greatest collections of furniture books, objects and paintings.  Beckford moved to Bath in 1822 and in 1827 built the Tower to house his collection. </w:t>
      </w:r>
      <w:r w:rsidR="004742C7">
        <w:rPr>
          <w:sz w:val="24"/>
          <w:szCs w:val="24"/>
        </w:rPr>
        <w:t xml:space="preserve"> </w:t>
      </w:r>
      <w:r>
        <w:rPr>
          <w:sz w:val="24"/>
          <w:szCs w:val="24"/>
        </w:rPr>
        <w:t xml:space="preserve">The coffer and stand </w:t>
      </w:r>
      <w:r w:rsidRPr="00713CFE">
        <w:rPr>
          <w:sz w:val="24"/>
          <w:szCs w:val="24"/>
        </w:rPr>
        <w:t>was most probably designed by Beckford himself and the Bath architect Henry Edmund Goodridge (1797-1864) and was</w:t>
      </w:r>
      <w:r w:rsidR="00FF7C6F">
        <w:rPr>
          <w:sz w:val="24"/>
          <w:szCs w:val="24"/>
        </w:rPr>
        <w:t xml:space="preserve"> </w:t>
      </w:r>
      <w:r w:rsidRPr="00713CFE">
        <w:rPr>
          <w:sz w:val="24"/>
          <w:szCs w:val="24"/>
        </w:rPr>
        <w:t xml:space="preserve">used </w:t>
      </w:r>
      <w:r w:rsidR="00FF7C6F">
        <w:rPr>
          <w:sz w:val="24"/>
          <w:szCs w:val="24"/>
        </w:rPr>
        <w:t>as a display cabinet for items</w:t>
      </w:r>
      <w:r w:rsidRPr="00713CFE">
        <w:rPr>
          <w:sz w:val="24"/>
          <w:szCs w:val="24"/>
        </w:rPr>
        <w:t xml:space="preserve"> from Beckford’s </w:t>
      </w:r>
      <w:r>
        <w:rPr>
          <w:sz w:val="24"/>
          <w:szCs w:val="24"/>
        </w:rPr>
        <w:t xml:space="preserve">extensive </w:t>
      </w:r>
      <w:r w:rsidRPr="00713CFE">
        <w:rPr>
          <w:sz w:val="24"/>
          <w:szCs w:val="24"/>
        </w:rPr>
        <w:t>collection.</w:t>
      </w:r>
    </w:p>
    <w:p w:rsidR="00DD00B1" w:rsidRPr="00713CFE" w:rsidRDefault="00DD00B1" w:rsidP="000B16E8">
      <w:pPr>
        <w:rPr>
          <w:sz w:val="24"/>
          <w:szCs w:val="24"/>
        </w:rPr>
      </w:pPr>
      <w:r w:rsidRPr="00713CFE">
        <w:rPr>
          <w:sz w:val="24"/>
          <w:szCs w:val="24"/>
        </w:rPr>
        <w:t xml:space="preserve">  </w:t>
      </w:r>
    </w:p>
    <w:p w:rsidR="004742C7" w:rsidRDefault="004742C7" w:rsidP="004742C7">
      <w:pPr>
        <w:rPr>
          <w:sz w:val="24"/>
          <w:szCs w:val="24"/>
        </w:rPr>
      </w:pPr>
      <w:r w:rsidRPr="00713CFE">
        <w:rPr>
          <w:sz w:val="24"/>
          <w:szCs w:val="24"/>
        </w:rPr>
        <w:t>Dr Amy Frost, Curator of Beckford’s Tower &amp;</w:t>
      </w:r>
      <w:r>
        <w:rPr>
          <w:sz w:val="24"/>
          <w:szCs w:val="24"/>
        </w:rPr>
        <w:t xml:space="preserve"> </w:t>
      </w:r>
      <w:r w:rsidRPr="00713CFE">
        <w:rPr>
          <w:sz w:val="24"/>
          <w:szCs w:val="24"/>
        </w:rPr>
        <w:t>Museum</w:t>
      </w:r>
      <w:r>
        <w:rPr>
          <w:sz w:val="24"/>
          <w:szCs w:val="24"/>
        </w:rPr>
        <w:t>,</w:t>
      </w:r>
      <w:r w:rsidRPr="00713CFE">
        <w:rPr>
          <w:sz w:val="24"/>
          <w:szCs w:val="24"/>
        </w:rPr>
        <w:t xml:space="preserve"> </w:t>
      </w:r>
      <w:r>
        <w:rPr>
          <w:sz w:val="24"/>
          <w:szCs w:val="24"/>
        </w:rPr>
        <w:t xml:space="preserve">said:  </w:t>
      </w:r>
    </w:p>
    <w:p w:rsidR="004742C7" w:rsidRPr="001B0708" w:rsidRDefault="004742C7" w:rsidP="004742C7">
      <w:pPr>
        <w:rPr>
          <w:sz w:val="24"/>
          <w:szCs w:val="24"/>
        </w:rPr>
      </w:pPr>
      <w:r>
        <w:rPr>
          <w:sz w:val="24"/>
          <w:szCs w:val="24"/>
        </w:rPr>
        <w:t>“</w:t>
      </w:r>
      <w:r w:rsidRPr="001B0708">
        <w:rPr>
          <w:sz w:val="24"/>
          <w:szCs w:val="24"/>
        </w:rPr>
        <w:t>The coffer and stand is a superb example of Beckford</w:t>
      </w:r>
      <w:r>
        <w:rPr>
          <w:sz w:val="24"/>
          <w:szCs w:val="24"/>
        </w:rPr>
        <w:t>’</w:t>
      </w:r>
      <w:r w:rsidRPr="001B0708">
        <w:rPr>
          <w:sz w:val="24"/>
          <w:szCs w:val="24"/>
        </w:rPr>
        <w:t xml:space="preserve">s impact on the history of furniture, design and collecting.  </w:t>
      </w:r>
      <w:r>
        <w:rPr>
          <w:sz w:val="24"/>
          <w:szCs w:val="24"/>
        </w:rPr>
        <w:t>Local support towards our campaign to purchase it has been wonderful and i</w:t>
      </w:r>
      <w:r w:rsidRPr="001B0708">
        <w:rPr>
          <w:sz w:val="24"/>
          <w:szCs w:val="24"/>
        </w:rPr>
        <w:t>t is fantastic to return it to Beckford</w:t>
      </w:r>
      <w:r>
        <w:rPr>
          <w:sz w:val="24"/>
          <w:szCs w:val="24"/>
        </w:rPr>
        <w:t>’</w:t>
      </w:r>
      <w:r w:rsidRPr="001B0708">
        <w:rPr>
          <w:sz w:val="24"/>
          <w:szCs w:val="24"/>
        </w:rPr>
        <w:t>s Tower and put it on public display in the building it was designed for</w:t>
      </w:r>
      <w:r>
        <w:rPr>
          <w:sz w:val="24"/>
          <w:szCs w:val="24"/>
        </w:rPr>
        <w:t>”</w:t>
      </w:r>
    </w:p>
    <w:p w:rsidR="00DD00B1" w:rsidRDefault="00DD00B1" w:rsidP="000B16E8">
      <w:pPr>
        <w:rPr>
          <w:sz w:val="24"/>
          <w:szCs w:val="24"/>
        </w:rPr>
      </w:pPr>
    </w:p>
    <w:p w:rsidR="00DD00B1" w:rsidRDefault="003521E1" w:rsidP="000B16E8">
      <w:pPr>
        <w:rPr>
          <w:sz w:val="24"/>
          <w:szCs w:val="24"/>
        </w:rPr>
      </w:pPr>
      <w:r w:rsidRPr="003521E1">
        <w:rPr>
          <w:sz w:val="24"/>
          <w:szCs w:val="24"/>
        </w:rPr>
        <w:t xml:space="preserve">The coffer and stand was subject to a temporary export bar from March this year, </w:t>
      </w:r>
      <w:r w:rsidR="003901A0" w:rsidRPr="003521E1">
        <w:rPr>
          <w:sz w:val="24"/>
          <w:szCs w:val="24"/>
        </w:rPr>
        <w:t>following recommendation</w:t>
      </w:r>
      <w:r w:rsidRPr="003521E1">
        <w:rPr>
          <w:sz w:val="24"/>
          <w:szCs w:val="24"/>
        </w:rPr>
        <w:t xml:space="preserve"> by the Reviewing Committee for the export of Works of Art and Objects of Cultural interest (administered by the Museums, Libraries and Archives Council).  </w:t>
      </w:r>
    </w:p>
    <w:p w:rsidR="004742C7" w:rsidRDefault="004742C7" w:rsidP="000B16E8">
      <w:pPr>
        <w:rPr>
          <w:sz w:val="24"/>
          <w:szCs w:val="24"/>
        </w:rPr>
      </w:pPr>
    </w:p>
    <w:p w:rsidR="003521E1" w:rsidRPr="003521E1" w:rsidRDefault="003521E1" w:rsidP="003521E1">
      <w:pPr>
        <w:rPr>
          <w:sz w:val="24"/>
          <w:szCs w:val="24"/>
        </w:rPr>
      </w:pPr>
      <w:r w:rsidRPr="003521E1">
        <w:rPr>
          <w:sz w:val="24"/>
          <w:szCs w:val="24"/>
        </w:rPr>
        <w:t>C</w:t>
      </w:r>
      <w:r>
        <w:rPr>
          <w:sz w:val="24"/>
          <w:szCs w:val="24"/>
        </w:rPr>
        <w:t xml:space="preserve">ulture Minister Ed </w:t>
      </w:r>
      <w:proofErr w:type="spellStart"/>
      <w:r>
        <w:rPr>
          <w:sz w:val="24"/>
          <w:szCs w:val="24"/>
        </w:rPr>
        <w:t>Vaizey</w:t>
      </w:r>
      <w:proofErr w:type="spellEnd"/>
      <w:r>
        <w:rPr>
          <w:sz w:val="24"/>
          <w:szCs w:val="24"/>
        </w:rPr>
        <w:t xml:space="preserve"> said:</w:t>
      </w:r>
    </w:p>
    <w:p w:rsidR="003521E1" w:rsidRPr="003521E1" w:rsidRDefault="003521E1" w:rsidP="003521E1">
      <w:pPr>
        <w:rPr>
          <w:sz w:val="24"/>
          <w:szCs w:val="24"/>
        </w:rPr>
      </w:pPr>
      <w:r w:rsidRPr="003521E1">
        <w:rPr>
          <w:sz w:val="24"/>
          <w:szCs w:val="24"/>
        </w:rPr>
        <w:t xml:space="preserve">“I am thrilled that the Beckford Tower Trust has managed to raise enough money to keep </w:t>
      </w:r>
      <w:bookmarkStart w:id="0" w:name="_GoBack"/>
      <w:bookmarkEnd w:id="0"/>
      <w:r w:rsidRPr="003521E1">
        <w:rPr>
          <w:sz w:val="24"/>
          <w:szCs w:val="24"/>
        </w:rPr>
        <w:t xml:space="preserve">William Beckford’s coffer in the UK.  This is a great example of why we have a system of deferring exports, and also a triumph for the kind of small scale philanthropy that we are working hard to encourage.  </w:t>
      </w:r>
    </w:p>
    <w:p w:rsidR="003521E1" w:rsidRPr="003521E1" w:rsidRDefault="003521E1" w:rsidP="003521E1">
      <w:pPr>
        <w:rPr>
          <w:sz w:val="24"/>
          <w:szCs w:val="24"/>
        </w:rPr>
      </w:pPr>
    </w:p>
    <w:p w:rsidR="003521E1" w:rsidRDefault="003521E1" w:rsidP="003521E1">
      <w:pPr>
        <w:rPr>
          <w:sz w:val="24"/>
          <w:szCs w:val="24"/>
        </w:rPr>
      </w:pPr>
      <w:r w:rsidRPr="003521E1">
        <w:rPr>
          <w:sz w:val="24"/>
          <w:szCs w:val="24"/>
        </w:rPr>
        <w:t>“It is of course very fitting that this fine piece of furniture will be on display at the Beckford Tower and Museum and I offer them my warmest congratulations on securing its future in the UK.”</w:t>
      </w:r>
    </w:p>
    <w:p w:rsidR="003521E1" w:rsidRPr="00713CFE" w:rsidRDefault="003521E1" w:rsidP="000B16E8">
      <w:pPr>
        <w:rPr>
          <w:sz w:val="24"/>
          <w:szCs w:val="24"/>
        </w:rPr>
      </w:pPr>
    </w:p>
    <w:p w:rsidR="003521E1" w:rsidRDefault="00DD00B1" w:rsidP="000B16E8">
      <w:pPr>
        <w:rPr>
          <w:sz w:val="24"/>
          <w:szCs w:val="24"/>
        </w:rPr>
      </w:pPr>
      <w:r>
        <w:rPr>
          <w:sz w:val="24"/>
          <w:szCs w:val="24"/>
        </w:rPr>
        <w:t xml:space="preserve">Dame Jenny </w:t>
      </w:r>
      <w:proofErr w:type="spellStart"/>
      <w:r>
        <w:rPr>
          <w:sz w:val="24"/>
          <w:szCs w:val="24"/>
        </w:rPr>
        <w:t>Abramsky</w:t>
      </w:r>
      <w:proofErr w:type="spellEnd"/>
      <w:r>
        <w:rPr>
          <w:sz w:val="24"/>
          <w:szCs w:val="24"/>
        </w:rPr>
        <w:t xml:space="preserve">, Chair of the NHMF, commented:  </w:t>
      </w:r>
    </w:p>
    <w:p w:rsidR="00DD00B1" w:rsidRPr="00ED7292" w:rsidRDefault="00DD00B1" w:rsidP="000B16E8">
      <w:pPr>
        <w:rPr>
          <w:sz w:val="24"/>
          <w:szCs w:val="24"/>
        </w:rPr>
      </w:pPr>
      <w:r w:rsidRPr="001B0708">
        <w:rPr>
          <w:rFonts w:cs="Arial"/>
          <w:sz w:val="24"/>
          <w:szCs w:val="24"/>
          <w:lang w:eastAsia="en-GB"/>
        </w:rPr>
        <w:t xml:space="preserve">“This is a unique survival.  Beckford continues to be highly respected as an arbiter of 19th-century national taste and that is why the trustees of the National Heritage Memorial Fund - which was set-up to safeguard our most precious heritage at risk - </w:t>
      </w:r>
      <w:r>
        <w:rPr>
          <w:sz w:val="24"/>
          <w:szCs w:val="24"/>
        </w:rPr>
        <w:t>felt it was crucial t</w:t>
      </w:r>
      <w:r w:rsidRPr="001B0708">
        <w:rPr>
          <w:rFonts w:cs="Arial"/>
          <w:sz w:val="24"/>
          <w:szCs w:val="24"/>
          <w:lang w:eastAsia="en-GB"/>
        </w:rPr>
        <w:t xml:space="preserve">o step in to help return this </w:t>
      </w:r>
      <w:r>
        <w:rPr>
          <w:rFonts w:cs="Arial"/>
          <w:sz w:val="24"/>
          <w:szCs w:val="24"/>
          <w:lang w:eastAsia="en-GB"/>
        </w:rPr>
        <w:t xml:space="preserve">heritage </w:t>
      </w:r>
      <w:r w:rsidRPr="001B0708">
        <w:rPr>
          <w:rFonts w:cs="Arial"/>
          <w:sz w:val="24"/>
          <w:szCs w:val="24"/>
          <w:lang w:eastAsia="en-GB"/>
        </w:rPr>
        <w:t xml:space="preserve">treasure to </w:t>
      </w:r>
      <w:r w:rsidRPr="00ED7292">
        <w:rPr>
          <w:rFonts w:cs="Arial"/>
          <w:sz w:val="24"/>
          <w:szCs w:val="24"/>
          <w:lang w:eastAsia="en-GB"/>
        </w:rPr>
        <w:t>its</w:t>
      </w:r>
      <w:r>
        <w:rPr>
          <w:rFonts w:cs="Arial"/>
          <w:sz w:val="24"/>
          <w:szCs w:val="24"/>
          <w:lang w:eastAsia="en-GB"/>
        </w:rPr>
        <w:t xml:space="preserve"> </w:t>
      </w:r>
      <w:r w:rsidRPr="001B0708">
        <w:rPr>
          <w:rFonts w:cs="Arial"/>
          <w:sz w:val="24"/>
          <w:szCs w:val="24"/>
          <w:lang w:eastAsia="en-GB"/>
        </w:rPr>
        <w:t>original setting.”</w:t>
      </w:r>
    </w:p>
    <w:p w:rsidR="00DD00B1" w:rsidRDefault="00DD00B1" w:rsidP="000B16E8">
      <w:pPr>
        <w:rPr>
          <w:sz w:val="24"/>
          <w:szCs w:val="24"/>
        </w:rPr>
      </w:pPr>
    </w:p>
    <w:p w:rsidR="001B0708" w:rsidRPr="001B0708" w:rsidRDefault="001B0708" w:rsidP="001B0708">
      <w:pPr>
        <w:rPr>
          <w:sz w:val="24"/>
          <w:szCs w:val="24"/>
        </w:rPr>
      </w:pPr>
      <w:r w:rsidRPr="001B0708">
        <w:rPr>
          <w:sz w:val="24"/>
          <w:szCs w:val="24"/>
        </w:rPr>
        <w:t xml:space="preserve"> Stephen </w:t>
      </w:r>
      <w:proofErr w:type="spellStart"/>
      <w:r w:rsidRPr="001B0708">
        <w:rPr>
          <w:sz w:val="24"/>
          <w:szCs w:val="24"/>
        </w:rPr>
        <w:t>Deuchar</w:t>
      </w:r>
      <w:proofErr w:type="spellEnd"/>
      <w:r w:rsidRPr="001B0708">
        <w:rPr>
          <w:sz w:val="24"/>
          <w:szCs w:val="24"/>
        </w:rPr>
        <w:t>, Director of the Art Fund said: “This is a wonderfully quirky piece of furniture that beautifully illustrates William Beckford’s tastes. It is great news that it has been able to remain in the UK and return to its original home where it can be seen and enjoyed by all.”</w:t>
      </w:r>
    </w:p>
    <w:p w:rsidR="00DD00B1" w:rsidRPr="00713CFE" w:rsidRDefault="00DD00B1" w:rsidP="000B16E8">
      <w:pPr>
        <w:rPr>
          <w:sz w:val="24"/>
          <w:szCs w:val="24"/>
        </w:rPr>
      </w:pPr>
    </w:p>
    <w:p w:rsidR="00DD00B1" w:rsidRPr="00713CFE" w:rsidRDefault="00DD00B1" w:rsidP="000B16E8">
      <w:pPr>
        <w:rPr>
          <w:sz w:val="24"/>
          <w:szCs w:val="24"/>
        </w:rPr>
      </w:pPr>
      <w:r w:rsidRPr="00713CFE">
        <w:rPr>
          <w:sz w:val="24"/>
          <w:szCs w:val="24"/>
        </w:rPr>
        <w:t xml:space="preserve">The </w:t>
      </w:r>
      <w:r>
        <w:rPr>
          <w:sz w:val="24"/>
          <w:szCs w:val="24"/>
        </w:rPr>
        <w:t>c</w:t>
      </w:r>
      <w:r w:rsidRPr="00713CFE">
        <w:rPr>
          <w:sz w:val="24"/>
          <w:szCs w:val="24"/>
        </w:rPr>
        <w:t xml:space="preserve">offer and stand </w:t>
      </w:r>
      <w:r>
        <w:rPr>
          <w:sz w:val="24"/>
          <w:szCs w:val="24"/>
        </w:rPr>
        <w:t>is now on</w:t>
      </w:r>
      <w:r w:rsidRPr="00713CFE">
        <w:rPr>
          <w:sz w:val="24"/>
          <w:szCs w:val="24"/>
        </w:rPr>
        <w:t xml:space="preserve"> display alongside other items once in Beckford collection at Beckford’s Tower &amp; Museum in Bath, open at weekends until the end of October</w:t>
      </w:r>
      <w:r>
        <w:rPr>
          <w:sz w:val="24"/>
          <w:szCs w:val="24"/>
        </w:rPr>
        <w:t xml:space="preserve"> 2011</w:t>
      </w:r>
      <w:r w:rsidRPr="00713CFE">
        <w:rPr>
          <w:sz w:val="24"/>
          <w:szCs w:val="24"/>
        </w:rPr>
        <w:t>.</w:t>
      </w:r>
    </w:p>
    <w:p w:rsidR="00DD00B1" w:rsidRPr="00713CFE" w:rsidRDefault="00DD00B1" w:rsidP="000B16E8">
      <w:pPr>
        <w:rPr>
          <w:sz w:val="24"/>
          <w:szCs w:val="24"/>
        </w:rPr>
      </w:pPr>
    </w:p>
    <w:p w:rsidR="00DD00B1" w:rsidRPr="00713CFE" w:rsidRDefault="00DD00B1" w:rsidP="000B16E8">
      <w:pPr>
        <w:rPr>
          <w:b/>
          <w:sz w:val="24"/>
          <w:szCs w:val="24"/>
        </w:rPr>
      </w:pPr>
      <w:r w:rsidRPr="00713CFE">
        <w:rPr>
          <w:b/>
          <w:sz w:val="24"/>
          <w:szCs w:val="24"/>
        </w:rPr>
        <w:t>For more information and images contact</w:t>
      </w:r>
    </w:p>
    <w:p w:rsidR="00DD00B1" w:rsidRPr="00713CFE" w:rsidRDefault="00DD00B1" w:rsidP="000B16E8">
      <w:pPr>
        <w:rPr>
          <w:sz w:val="24"/>
          <w:szCs w:val="24"/>
        </w:rPr>
      </w:pPr>
      <w:r w:rsidRPr="00713CFE">
        <w:rPr>
          <w:sz w:val="24"/>
          <w:szCs w:val="24"/>
        </w:rPr>
        <w:t>Dr Amy Frost</w:t>
      </w:r>
    </w:p>
    <w:p w:rsidR="00DD00B1" w:rsidRPr="00713CFE" w:rsidRDefault="00DD00B1" w:rsidP="000B16E8">
      <w:pPr>
        <w:rPr>
          <w:sz w:val="24"/>
          <w:szCs w:val="24"/>
        </w:rPr>
      </w:pPr>
      <w:r w:rsidRPr="00713CFE">
        <w:rPr>
          <w:sz w:val="24"/>
          <w:szCs w:val="24"/>
        </w:rPr>
        <w:t>01225 460705</w:t>
      </w:r>
    </w:p>
    <w:p w:rsidR="00DD00B1" w:rsidRPr="00713CFE" w:rsidRDefault="00DD00B1" w:rsidP="000B16E8">
      <w:pPr>
        <w:rPr>
          <w:sz w:val="24"/>
          <w:szCs w:val="24"/>
        </w:rPr>
      </w:pPr>
      <w:r w:rsidRPr="00713CFE">
        <w:rPr>
          <w:sz w:val="24"/>
          <w:szCs w:val="24"/>
        </w:rPr>
        <w:t>07732172872</w:t>
      </w:r>
    </w:p>
    <w:p w:rsidR="00DD00B1" w:rsidRDefault="006904CE" w:rsidP="000B16E8">
      <w:hyperlink r:id="rId8" w:history="1">
        <w:r w:rsidR="00DD00B1" w:rsidRPr="00713CFE">
          <w:rPr>
            <w:rStyle w:val="Hyperlink"/>
            <w:sz w:val="24"/>
            <w:szCs w:val="24"/>
          </w:rPr>
          <w:t>beckford@bptrust.org.uk</w:t>
        </w:r>
      </w:hyperlink>
    </w:p>
    <w:p w:rsidR="00DD00B1" w:rsidRDefault="00DD00B1" w:rsidP="000B16E8"/>
    <w:p w:rsidR="00DD00B1" w:rsidRPr="001B0708" w:rsidRDefault="00DD00B1" w:rsidP="00FF7C6F">
      <w:pPr>
        <w:rPr>
          <w:b/>
          <w:sz w:val="20"/>
          <w:szCs w:val="20"/>
        </w:rPr>
      </w:pPr>
      <w:r>
        <w:t>Notes</w:t>
      </w:r>
    </w:p>
    <w:p w:rsidR="00DD00B1" w:rsidRPr="001B0708" w:rsidRDefault="00DD00B1" w:rsidP="001B0708">
      <w:pPr>
        <w:spacing w:line="240" w:lineRule="auto"/>
        <w:jc w:val="both"/>
        <w:rPr>
          <w:b/>
          <w:sz w:val="20"/>
          <w:szCs w:val="20"/>
        </w:rPr>
      </w:pPr>
      <w:r w:rsidRPr="001B0708">
        <w:rPr>
          <w:b/>
          <w:sz w:val="20"/>
          <w:szCs w:val="20"/>
        </w:rPr>
        <w:t>National Heritage Memorial Fund (NHMF)</w:t>
      </w:r>
    </w:p>
    <w:p w:rsidR="00DD00B1" w:rsidRDefault="00DD00B1" w:rsidP="001B0708">
      <w:pPr>
        <w:spacing w:line="240" w:lineRule="auto"/>
        <w:jc w:val="both"/>
        <w:rPr>
          <w:sz w:val="20"/>
          <w:szCs w:val="20"/>
        </w:rPr>
      </w:pPr>
      <w:r w:rsidRPr="009B3379">
        <w:rPr>
          <w:sz w:val="20"/>
          <w:szCs w:val="20"/>
        </w:rPr>
        <w:t xml:space="preserve">The National Heritage Memorial Fund was set up to save the most outstanding parts of our national heritage, in memory of those who have given their lives for the </w:t>
      </w:r>
      <w:smartTag w:uri="urn:schemas-microsoft-com:office:smarttags" w:element="PlaceName">
        <w:smartTag w:uri="urn:schemas-microsoft-com:office:smarttags" w:element="place">
          <w:smartTag w:uri="urn:schemas-microsoft-com:office:smarttags" w:element="country-region">
            <w:r w:rsidRPr="009B3379">
              <w:rPr>
                <w:sz w:val="20"/>
                <w:szCs w:val="20"/>
              </w:rPr>
              <w:t>UK</w:t>
            </w:r>
          </w:smartTag>
        </w:smartTag>
      </w:smartTag>
      <w:r w:rsidRPr="009B3379">
        <w:rPr>
          <w:sz w:val="20"/>
          <w:szCs w:val="20"/>
        </w:rPr>
        <w:t>.</w:t>
      </w:r>
      <w:r w:rsidRPr="00351E21">
        <w:rPr>
          <w:sz w:val="20"/>
          <w:szCs w:val="20"/>
        </w:rPr>
        <w:t> </w:t>
      </w:r>
      <w:r w:rsidRPr="009B3379">
        <w:rPr>
          <w:sz w:val="20"/>
          <w:szCs w:val="20"/>
        </w:rPr>
        <w:t xml:space="preserve"> NHMF currently receives annual grant-in-aid from the Government.</w:t>
      </w:r>
      <w:r w:rsidRPr="00351E21">
        <w:rPr>
          <w:sz w:val="20"/>
          <w:szCs w:val="20"/>
        </w:rPr>
        <w:t>  </w:t>
      </w:r>
      <w:r w:rsidRPr="009B3379">
        <w:rPr>
          <w:sz w:val="20"/>
          <w:szCs w:val="20"/>
        </w:rPr>
        <w:t xml:space="preserve">It is due to receive £20million </w:t>
      </w:r>
      <w:proofErr w:type="gramStart"/>
      <w:r w:rsidRPr="009B3379">
        <w:rPr>
          <w:sz w:val="20"/>
          <w:szCs w:val="20"/>
        </w:rPr>
        <w:t>between 2011-15, allowing for an annual budget of £4m-5m</w:t>
      </w:r>
      <w:proofErr w:type="gramEnd"/>
      <w:r w:rsidRPr="009B3379">
        <w:rPr>
          <w:sz w:val="20"/>
          <w:szCs w:val="20"/>
        </w:rPr>
        <w:t xml:space="preserve">.  </w:t>
      </w:r>
      <w:hyperlink r:id="rId9" w:tooltip="blocked::http://www.nhmf.org.uk/" w:history="1">
        <w:r w:rsidRPr="009B3379">
          <w:rPr>
            <w:rStyle w:val="Hyperlink"/>
            <w:sz w:val="20"/>
            <w:szCs w:val="20"/>
          </w:rPr>
          <w:t>www.nhmf.org.uk</w:t>
        </w:r>
      </w:hyperlink>
      <w:r w:rsidRPr="001B0708">
        <w:rPr>
          <w:sz w:val="20"/>
          <w:szCs w:val="20"/>
        </w:rPr>
        <w:t xml:space="preserve">. </w:t>
      </w:r>
    </w:p>
    <w:p w:rsidR="00DD00B1" w:rsidRDefault="00DD00B1" w:rsidP="001B0708">
      <w:pPr>
        <w:spacing w:line="240" w:lineRule="auto"/>
        <w:jc w:val="both"/>
        <w:rPr>
          <w:sz w:val="20"/>
          <w:szCs w:val="20"/>
        </w:rPr>
      </w:pPr>
    </w:p>
    <w:p w:rsidR="00DD00B1" w:rsidRDefault="00DD00B1" w:rsidP="001B0708">
      <w:pPr>
        <w:spacing w:line="240" w:lineRule="auto"/>
        <w:jc w:val="both"/>
        <w:rPr>
          <w:sz w:val="20"/>
          <w:szCs w:val="20"/>
        </w:rPr>
      </w:pPr>
      <w:r>
        <w:rPr>
          <w:sz w:val="20"/>
          <w:szCs w:val="20"/>
        </w:rPr>
        <w:t xml:space="preserve">Beckford’s Coffer and stand </w:t>
      </w:r>
      <w:r w:rsidRPr="001B0708">
        <w:rPr>
          <w:sz w:val="20"/>
          <w:szCs w:val="20"/>
        </w:rPr>
        <w:t>joins a diverse range of over 1,200 iconic objects and places which have been safeguarded by the NHMF to the tune of over £300million.</w:t>
      </w:r>
      <w:r w:rsidRPr="00351E21">
        <w:rPr>
          <w:sz w:val="20"/>
          <w:szCs w:val="20"/>
        </w:rPr>
        <w:t> </w:t>
      </w:r>
      <w:r w:rsidRPr="001B0708">
        <w:rPr>
          <w:sz w:val="20"/>
          <w:szCs w:val="20"/>
        </w:rPr>
        <w:t xml:space="preserve"> These include: </w:t>
      </w:r>
    </w:p>
    <w:p w:rsidR="00DD00B1" w:rsidRDefault="00DD00B1" w:rsidP="001B0708">
      <w:pPr>
        <w:numPr>
          <w:ilvl w:val="0"/>
          <w:numId w:val="11"/>
        </w:numPr>
        <w:spacing w:line="240" w:lineRule="auto"/>
        <w:jc w:val="both"/>
        <w:rPr>
          <w:sz w:val="20"/>
          <w:szCs w:val="20"/>
        </w:rPr>
      </w:pPr>
      <w:r w:rsidRPr="001B0708">
        <w:rPr>
          <w:sz w:val="20"/>
          <w:szCs w:val="20"/>
        </w:rPr>
        <w:t xml:space="preserve">The </w:t>
      </w:r>
      <w:proofErr w:type="spellStart"/>
      <w:r w:rsidRPr="001B0708">
        <w:rPr>
          <w:sz w:val="20"/>
          <w:szCs w:val="20"/>
        </w:rPr>
        <w:t>Coenwulf</w:t>
      </w:r>
      <w:proofErr w:type="spellEnd"/>
      <w:r w:rsidRPr="001B0708">
        <w:rPr>
          <w:sz w:val="20"/>
          <w:szCs w:val="20"/>
        </w:rPr>
        <w:t xml:space="preserve"> Coin; </w:t>
      </w:r>
    </w:p>
    <w:p w:rsidR="00DD00B1" w:rsidRDefault="00DD00B1" w:rsidP="001B0708">
      <w:pPr>
        <w:numPr>
          <w:ilvl w:val="0"/>
          <w:numId w:val="11"/>
        </w:numPr>
        <w:spacing w:line="240" w:lineRule="auto"/>
        <w:jc w:val="both"/>
        <w:rPr>
          <w:sz w:val="20"/>
          <w:szCs w:val="20"/>
        </w:rPr>
      </w:pPr>
      <w:r w:rsidRPr="001B0708">
        <w:rPr>
          <w:sz w:val="20"/>
          <w:szCs w:val="20"/>
        </w:rPr>
        <w:t xml:space="preserve">The Macclesfield Psalter; </w:t>
      </w:r>
    </w:p>
    <w:p w:rsidR="00DD00B1" w:rsidRDefault="00DD00B1" w:rsidP="001B0708">
      <w:pPr>
        <w:numPr>
          <w:ilvl w:val="0"/>
          <w:numId w:val="11"/>
        </w:numPr>
        <w:spacing w:line="240" w:lineRule="auto"/>
        <w:jc w:val="both"/>
        <w:rPr>
          <w:sz w:val="20"/>
          <w:szCs w:val="20"/>
        </w:rPr>
      </w:pPr>
      <w:r w:rsidRPr="001B0708">
        <w:rPr>
          <w:sz w:val="20"/>
          <w:szCs w:val="20"/>
        </w:rPr>
        <w:t xml:space="preserve">The </w:t>
      </w:r>
      <w:proofErr w:type="spellStart"/>
      <w:r w:rsidRPr="001B0708">
        <w:rPr>
          <w:sz w:val="20"/>
          <w:szCs w:val="20"/>
        </w:rPr>
        <w:t>Mappa</w:t>
      </w:r>
      <w:proofErr w:type="spellEnd"/>
      <w:r w:rsidRPr="001B0708">
        <w:rPr>
          <w:sz w:val="20"/>
          <w:szCs w:val="20"/>
        </w:rPr>
        <w:t xml:space="preserve"> Mundi; The Staffordshire Hoard; </w:t>
      </w:r>
    </w:p>
    <w:p w:rsidR="00DD00B1" w:rsidRDefault="00DD00B1" w:rsidP="001B0708">
      <w:pPr>
        <w:numPr>
          <w:ilvl w:val="0"/>
          <w:numId w:val="11"/>
        </w:numPr>
        <w:spacing w:line="240" w:lineRule="auto"/>
        <w:jc w:val="both"/>
        <w:rPr>
          <w:sz w:val="20"/>
          <w:szCs w:val="20"/>
        </w:rPr>
      </w:pPr>
      <w:r w:rsidRPr="001B0708">
        <w:rPr>
          <w:sz w:val="20"/>
          <w:szCs w:val="20"/>
        </w:rPr>
        <w:t xml:space="preserve">The </w:t>
      </w:r>
      <w:smartTag w:uri="urn:schemas-microsoft-com:office:smarttags" w:element="PlaceName">
        <w:smartTag w:uri="urn:schemas-microsoft-com:office:smarttags" w:element="place">
          <w:r w:rsidRPr="001B0708">
            <w:rPr>
              <w:sz w:val="20"/>
              <w:szCs w:val="20"/>
            </w:rPr>
            <w:t>Milton Keynes</w:t>
          </w:r>
        </w:smartTag>
      </w:smartTag>
      <w:r w:rsidRPr="001B0708">
        <w:rPr>
          <w:sz w:val="20"/>
          <w:szCs w:val="20"/>
        </w:rPr>
        <w:t xml:space="preserve"> Pot of Gold; </w:t>
      </w:r>
    </w:p>
    <w:p w:rsidR="00DD00B1" w:rsidRDefault="00DD00B1" w:rsidP="001B0708">
      <w:pPr>
        <w:numPr>
          <w:ilvl w:val="0"/>
          <w:numId w:val="11"/>
        </w:numPr>
        <w:spacing w:line="240" w:lineRule="auto"/>
        <w:jc w:val="both"/>
        <w:rPr>
          <w:sz w:val="20"/>
          <w:szCs w:val="20"/>
        </w:rPr>
      </w:pPr>
      <w:r w:rsidRPr="001B0708">
        <w:rPr>
          <w:sz w:val="20"/>
          <w:szCs w:val="20"/>
        </w:rPr>
        <w:t xml:space="preserve">The Mary Rose; The Flying Scotsman; </w:t>
      </w:r>
    </w:p>
    <w:p w:rsidR="00DD00B1" w:rsidRDefault="00DD00B1" w:rsidP="001B0708">
      <w:pPr>
        <w:numPr>
          <w:ilvl w:val="0"/>
          <w:numId w:val="11"/>
        </w:numPr>
        <w:spacing w:line="240" w:lineRule="auto"/>
        <w:jc w:val="both"/>
        <w:rPr>
          <w:sz w:val="20"/>
          <w:szCs w:val="20"/>
        </w:rPr>
      </w:pPr>
      <w:r w:rsidRPr="001B0708">
        <w:rPr>
          <w:sz w:val="20"/>
          <w:szCs w:val="20"/>
        </w:rPr>
        <w:t xml:space="preserve">The last surviving World War II destroyer, HMS Cavalier; </w:t>
      </w:r>
    </w:p>
    <w:p w:rsidR="00DD00B1" w:rsidRDefault="00DD00B1" w:rsidP="001B0708">
      <w:pPr>
        <w:numPr>
          <w:ilvl w:val="0"/>
          <w:numId w:val="11"/>
        </w:numPr>
        <w:spacing w:line="240" w:lineRule="auto"/>
        <w:jc w:val="both"/>
        <w:rPr>
          <w:sz w:val="20"/>
          <w:szCs w:val="20"/>
        </w:rPr>
      </w:pPr>
      <w:r w:rsidRPr="001B0708">
        <w:rPr>
          <w:sz w:val="20"/>
          <w:szCs w:val="20"/>
        </w:rPr>
        <w:t>Antonio Canova</w:t>
      </w:r>
      <w:r w:rsidRPr="00351E21">
        <w:rPr>
          <w:sz w:val="20"/>
          <w:szCs w:val="20"/>
        </w:rPr>
        <w:t>’</w:t>
      </w:r>
      <w:r w:rsidRPr="001B0708">
        <w:rPr>
          <w:sz w:val="20"/>
          <w:szCs w:val="20"/>
        </w:rPr>
        <w:t xml:space="preserve">s The Three Graces; </w:t>
      </w:r>
    </w:p>
    <w:p w:rsidR="00DD00B1" w:rsidRDefault="00DD00B1" w:rsidP="001B0708">
      <w:pPr>
        <w:numPr>
          <w:ilvl w:val="0"/>
          <w:numId w:val="11"/>
        </w:numPr>
        <w:spacing w:line="240" w:lineRule="auto"/>
        <w:jc w:val="both"/>
        <w:rPr>
          <w:sz w:val="20"/>
          <w:szCs w:val="20"/>
        </w:rPr>
      </w:pPr>
      <w:r>
        <w:rPr>
          <w:sz w:val="20"/>
          <w:szCs w:val="20"/>
        </w:rPr>
        <w:t>Jane Austen’s unfinished manuscript ‘The Watsons’</w:t>
      </w:r>
    </w:p>
    <w:p w:rsidR="00DD00B1" w:rsidRDefault="00DD00B1" w:rsidP="001B0708">
      <w:pPr>
        <w:numPr>
          <w:ilvl w:val="0"/>
          <w:numId w:val="11"/>
        </w:numPr>
        <w:spacing w:line="240" w:lineRule="auto"/>
        <w:jc w:val="both"/>
        <w:rPr>
          <w:sz w:val="20"/>
          <w:szCs w:val="20"/>
        </w:rPr>
      </w:pPr>
      <w:r>
        <w:rPr>
          <w:sz w:val="20"/>
          <w:szCs w:val="20"/>
        </w:rPr>
        <w:t>The Turing-Newman Collaboration Collection;</w:t>
      </w:r>
    </w:p>
    <w:p w:rsidR="00DD00B1" w:rsidRDefault="00DD00B1" w:rsidP="001B0708">
      <w:pPr>
        <w:numPr>
          <w:ilvl w:val="0"/>
          <w:numId w:val="11"/>
        </w:numPr>
        <w:spacing w:line="240" w:lineRule="auto"/>
        <w:jc w:val="both"/>
        <w:rPr>
          <w:sz w:val="20"/>
          <w:szCs w:val="20"/>
        </w:rPr>
      </w:pPr>
      <w:r>
        <w:rPr>
          <w:sz w:val="20"/>
          <w:szCs w:val="20"/>
        </w:rPr>
        <w:t>The Frome Hoard;</w:t>
      </w:r>
    </w:p>
    <w:p w:rsidR="00DD00B1" w:rsidRPr="001B0708" w:rsidRDefault="00DD00B1" w:rsidP="001B0708">
      <w:pPr>
        <w:numPr>
          <w:ilvl w:val="0"/>
          <w:numId w:val="11"/>
        </w:numPr>
        <w:spacing w:line="240" w:lineRule="auto"/>
        <w:jc w:val="both"/>
        <w:rPr>
          <w:sz w:val="20"/>
          <w:szCs w:val="20"/>
        </w:rPr>
      </w:pPr>
      <w:smartTag w:uri="urn:schemas-microsoft-com:office:smarttags" w:element="PlaceName">
        <w:smartTag w:uri="urn:schemas-microsoft-com:office:smarttags" w:element="place">
          <w:r w:rsidRPr="001B0708">
            <w:rPr>
              <w:sz w:val="20"/>
              <w:szCs w:val="20"/>
            </w:rPr>
            <w:t>Stockholm</w:t>
          </w:r>
        </w:smartTag>
        <w:r w:rsidRPr="001B0708">
          <w:rPr>
            <w:sz w:val="20"/>
            <w:szCs w:val="20"/>
          </w:rPr>
          <w:t xml:space="preserve"> </w:t>
        </w:r>
        <w:smartTag w:uri="urn:schemas-microsoft-com:office:smarttags" w:element="PlaceName">
          <w:smartTag w:uri="urn:schemas-microsoft-com:office:smarttags" w:element="PlaceType">
            <w:r w:rsidRPr="001B0708">
              <w:rPr>
                <w:sz w:val="20"/>
                <w:szCs w:val="20"/>
              </w:rPr>
              <w:t>Island</w:t>
            </w:r>
          </w:smartTag>
        </w:smartTag>
      </w:smartTag>
      <w:r w:rsidRPr="001B0708">
        <w:rPr>
          <w:sz w:val="20"/>
          <w:szCs w:val="20"/>
        </w:rPr>
        <w:t>, Site of Special Scientific Interest (SSSI) in Pembrokeshire.</w:t>
      </w:r>
    </w:p>
    <w:p w:rsidR="00DD00B1" w:rsidRDefault="00DD00B1" w:rsidP="001B0708">
      <w:pPr>
        <w:spacing w:line="240" w:lineRule="auto"/>
        <w:jc w:val="both"/>
      </w:pPr>
    </w:p>
    <w:p w:rsidR="00DD00B1" w:rsidRPr="001B0708" w:rsidRDefault="00DD00B1" w:rsidP="001B0708">
      <w:pPr>
        <w:spacing w:line="240" w:lineRule="auto"/>
        <w:jc w:val="both"/>
        <w:rPr>
          <w:b/>
          <w:sz w:val="20"/>
          <w:szCs w:val="20"/>
        </w:rPr>
      </w:pPr>
      <w:r w:rsidRPr="001B0708">
        <w:rPr>
          <w:b/>
          <w:sz w:val="20"/>
          <w:szCs w:val="20"/>
        </w:rPr>
        <w:t xml:space="preserve">The Art Fund </w:t>
      </w:r>
    </w:p>
    <w:p w:rsidR="00DD00B1" w:rsidRPr="00713CFE" w:rsidRDefault="00DD00B1" w:rsidP="00FF7C6F">
      <w:pPr>
        <w:jc w:val="both"/>
      </w:pPr>
      <w:r w:rsidRPr="001B0708">
        <w:rPr>
          <w:sz w:val="20"/>
          <w:szCs w:val="20"/>
        </w:rPr>
        <w:t xml:space="preserve">The Art Fund is a national fundraising charity, helping </w:t>
      </w:r>
      <w:smartTag w:uri="urn:schemas-microsoft-com:office:smarttags" w:element="PlaceName">
        <w:smartTag w:uri="urn:schemas-microsoft-com:office:smarttags" w:element="place">
          <w:smartTag w:uri="urn:schemas-microsoft-com:office:smarttags" w:element="country-region">
            <w:r w:rsidRPr="001B0708">
              <w:rPr>
                <w:sz w:val="20"/>
                <w:szCs w:val="20"/>
              </w:rPr>
              <w:t>UK</w:t>
            </w:r>
          </w:smartTag>
        </w:smartTag>
      </w:smartTag>
      <w:r w:rsidRPr="001B0708">
        <w:rPr>
          <w:sz w:val="20"/>
          <w:szCs w:val="20"/>
        </w:rPr>
        <w:t xml:space="preserve"> museums and galleries to buy, show and share art. It offers many ways of enjoying art through the </w:t>
      </w:r>
      <w:smartTag w:uri="urn:schemas-microsoft-com:office:smarttags" w:element="PlaceName">
        <w:smartTag w:uri="urn:schemas-microsoft-com:office:smarttags" w:element="place">
          <w:r w:rsidRPr="001B0708">
            <w:rPr>
              <w:sz w:val="20"/>
              <w:szCs w:val="20"/>
            </w:rPr>
            <w:t>National</w:t>
          </w:r>
        </w:smartTag>
        <w:r w:rsidRPr="001B0708">
          <w:rPr>
            <w:sz w:val="20"/>
            <w:szCs w:val="20"/>
          </w:rPr>
          <w:t xml:space="preserve"> </w:t>
        </w:r>
        <w:smartTag w:uri="urn:schemas-microsoft-com:office:smarttags" w:element="PlaceName">
          <w:r w:rsidRPr="001B0708">
            <w:rPr>
              <w:sz w:val="20"/>
              <w:szCs w:val="20"/>
            </w:rPr>
            <w:t>Art</w:t>
          </w:r>
        </w:smartTag>
        <w:r w:rsidRPr="001B0708">
          <w:rPr>
            <w:sz w:val="20"/>
            <w:szCs w:val="20"/>
          </w:rPr>
          <w:t xml:space="preserve"> </w:t>
        </w:r>
        <w:smartTag w:uri="urn:schemas-microsoft-com:office:smarttags" w:element="PlaceName">
          <w:r w:rsidRPr="001B0708">
            <w:rPr>
              <w:sz w:val="20"/>
              <w:szCs w:val="20"/>
            </w:rPr>
            <w:t>Pass</w:t>
          </w:r>
        </w:smartTag>
      </w:smartTag>
      <w:r w:rsidRPr="001B0708">
        <w:rPr>
          <w:sz w:val="20"/>
          <w:szCs w:val="20"/>
        </w:rPr>
        <w:t xml:space="preserve"> which gives free entry to over 200 museums, galleries and historic houses across the country as well as 50 per cent off major exhibitions. Over the past five years, the Art Fund has given £24 million to 248 museums and galleries to buy art. It also sponsors the UK tour of the ARTIST ROOMS collection </w:t>
      </w:r>
      <w:r w:rsidRPr="00351E21">
        <w:rPr>
          <w:sz w:val="20"/>
          <w:szCs w:val="20"/>
        </w:rPr>
        <w:t>–</w:t>
      </w:r>
      <w:r w:rsidRPr="001B0708">
        <w:rPr>
          <w:sz w:val="20"/>
          <w:szCs w:val="20"/>
        </w:rPr>
        <w:t xml:space="preserve"> reaching several million people each year, and fundraises: recent campaigns include bringing in £6 million to save the Staffordshire Hoard for the West Midlands and Brueghel the Younger</w:t>
      </w:r>
      <w:r w:rsidRPr="00351E21">
        <w:rPr>
          <w:sz w:val="20"/>
          <w:szCs w:val="20"/>
        </w:rPr>
        <w:t>’</w:t>
      </w:r>
      <w:r w:rsidRPr="001B0708">
        <w:rPr>
          <w:sz w:val="20"/>
          <w:szCs w:val="20"/>
        </w:rPr>
        <w:t xml:space="preserve">s The Procession to Calvary for </w:t>
      </w:r>
      <w:proofErr w:type="spellStart"/>
      <w:r w:rsidRPr="001B0708">
        <w:rPr>
          <w:sz w:val="20"/>
          <w:szCs w:val="20"/>
        </w:rPr>
        <w:t>Nostell</w:t>
      </w:r>
      <w:proofErr w:type="spellEnd"/>
      <w:r w:rsidRPr="001B0708">
        <w:rPr>
          <w:sz w:val="20"/>
          <w:szCs w:val="20"/>
        </w:rPr>
        <w:t xml:space="preserve"> Priory. It is funded entirely by its 80,000 supporters who believe great art should be for everyone to enjoy. Find out more about the Art Fund and how to buy a National Art Pass at </w:t>
      </w:r>
      <w:hyperlink r:id="rId10" w:tooltip="blocked::http://www.artfund.org/" w:history="1">
        <w:r w:rsidRPr="009B3379">
          <w:rPr>
            <w:rStyle w:val="Hyperlink"/>
            <w:sz w:val="20"/>
            <w:szCs w:val="20"/>
          </w:rPr>
          <w:t>www.artfund.org</w:t>
        </w:r>
      </w:hyperlink>
    </w:p>
    <w:sectPr w:rsidR="00DD00B1" w:rsidRPr="00713CFE" w:rsidSect="00FF7C6F">
      <w:pgSz w:w="11906" w:h="16838"/>
      <w:pgMar w:top="1191" w:right="1247"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3EFB6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FC4D9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51E9F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93212E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DCA7C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C2C9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D640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FC08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9FC62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6B205AA"/>
    <w:lvl w:ilvl="0">
      <w:start w:val="1"/>
      <w:numFmt w:val="bullet"/>
      <w:lvlText w:val=""/>
      <w:lvlJc w:val="left"/>
      <w:pPr>
        <w:tabs>
          <w:tab w:val="num" w:pos="360"/>
        </w:tabs>
        <w:ind w:left="360" w:hanging="360"/>
      </w:pPr>
      <w:rPr>
        <w:rFonts w:ascii="Symbol" w:hAnsi="Symbol" w:hint="default"/>
      </w:rPr>
    </w:lvl>
  </w:abstractNum>
  <w:abstractNum w:abstractNumId="10">
    <w:nsid w:val="7DE048B4"/>
    <w:multiLevelType w:val="hybridMultilevel"/>
    <w:tmpl w:val="D2A219B8"/>
    <w:lvl w:ilvl="0" w:tplc="DA128BE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52"/>
    <w:rsid w:val="000B16E8"/>
    <w:rsid w:val="000B4A96"/>
    <w:rsid w:val="001B0708"/>
    <w:rsid w:val="001C0E52"/>
    <w:rsid w:val="002A4EDC"/>
    <w:rsid w:val="002E1E87"/>
    <w:rsid w:val="002F1191"/>
    <w:rsid w:val="00342EEB"/>
    <w:rsid w:val="00351E21"/>
    <w:rsid w:val="003521E1"/>
    <w:rsid w:val="0035323B"/>
    <w:rsid w:val="003901A0"/>
    <w:rsid w:val="003C1219"/>
    <w:rsid w:val="003F0D85"/>
    <w:rsid w:val="003F406B"/>
    <w:rsid w:val="004742C7"/>
    <w:rsid w:val="004D5BE3"/>
    <w:rsid w:val="004E3900"/>
    <w:rsid w:val="00657D5C"/>
    <w:rsid w:val="006647AA"/>
    <w:rsid w:val="006C6FDA"/>
    <w:rsid w:val="00713CFE"/>
    <w:rsid w:val="00720A97"/>
    <w:rsid w:val="007420D3"/>
    <w:rsid w:val="00742C89"/>
    <w:rsid w:val="00773E87"/>
    <w:rsid w:val="007D0549"/>
    <w:rsid w:val="0088469B"/>
    <w:rsid w:val="008A13C9"/>
    <w:rsid w:val="00936714"/>
    <w:rsid w:val="00941D71"/>
    <w:rsid w:val="00945516"/>
    <w:rsid w:val="009758E9"/>
    <w:rsid w:val="009B3379"/>
    <w:rsid w:val="00A06B40"/>
    <w:rsid w:val="00AA3332"/>
    <w:rsid w:val="00AE3407"/>
    <w:rsid w:val="00AF43CA"/>
    <w:rsid w:val="00B64256"/>
    <w:rsid w:val="00B8525F"/>
    <w:rsid w:val="00BC1988"/>
    <w:rsid w:val="00C1644C"/>
    <w:rsid w:val="00C513D4"/>
    <w:rsid w:val="00C52F7F"/>
    <w:rsid w:val="00CC6170"/>
    <w:rsid w:val="00D76D2D"/>
    <w:rsid w:val="00DB4535"/>
    <w:rsid w:val="00DC3D98"/>
    <w:rsid w:val="00DD00B1"/>
    <w:rsid w:val="00ED7292"/>
    <w:rsid w:val="00F27BCD"/>
    <w:rsid w:val="00F85DA5"/>
    <w:rsid w:val="00F92AC3"/>
    <w:rsid w:val="00FF7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CA"/>
    <w:pPr>
      <w:spacing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13CFE"/>
    <w:rPr>
      <w:rFonts w:cs="Times New Roman"/>
      <w:color w:val="0000FF"/>
      <w:u w:val="single"/>
    </w:rPr>
  </w:style>
  <w:style w:type="paragraph" w:styleId="BalloonText">
    <w:name w:val="Balloon Text"/>
    <w:basedOn w:val="Normal"/>
    <w:link w:val="BalloonTextChar"/>
    <w:uiPriority w:val="99"/>
    <w:semiHidden/>
    <w:rsid w:val="00713C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3CFE"/>
    <w:rPr>
      <w:rFonts w:ascii="Tahoma" w:hAnsi="Tahoma" w:cs="Tahoma"/>
      <w:sz w:val="16"/>
      <w:szCs w:val="16"/>
    </w:rPr>
  </w:style>
  <w:style w:type="paragraph" w:styleId="NormalWeb">
    <w:name w:val="Normal (Web)"/>
    <w:basedOn w:val="Normal"/>
    <w:uiPriority w:val="99"/>
    <w:rsid w:val="00F85DA5"/>
    <w:pPr>
      <w:spacing w:before="100" w:beforeAutospacing="1" w:after="100" w:afterAutospacing="1" w:line="240" w:lineRule="auto"/>
    </w:pPr>
    <w:rPr>
      <w:rFonts w:ascii="Times New Roman" w:hAnsi="Times New Roman"/>
      <w:sz w:val="24"/>
      <w:szCs w:val="24"/>
      <w:lang w:eastAsia="en-GB"/>
    </w:rPr>
  </w:style>
  <w:style w:type="character" w:styleId="CommentReference">
    <w:name w:val="annotation reference"/>
    <w:basedOn w:val="DefaultParagraphFont"/>
    <w:uiPriority w:val="99"/>
    <w:semiHidden/>
    <w:rsid w:val="00C1644C"/>
    <w:rPr>
      <w:rFonts w:cs="Times New Roman"/>
      <w:sz w:val="16"/>
      <w:szCs w:val="16"/>
    </w:rPr>
  </w:style>
  <w:style w:type="paragraph" w:styleId="CommentText">
    <w:name w:val="annotation text"/>
    <w:basedOn w:val="Normal"/>
    <w:link w:val="CommentTextChar"/>
    <w:uiPriority w:val="99"/>
    <w:semiHidden/>
    <w:rsid w:val="00C1644C"/>
    <w:rPr>
      <w:sz w:val="20"/>
      <w:szCs w:val="20"/>
    </w:rPr>
  </w:style>
  <w:style w:type="character" w:customStyle="1" w:styleId="CommentTextChar">
    <w:name w:val="Comment Text Char"/>
    <w:basedOn w:val="DefaultParagraphFont"/>
    <w:link w:val="CommentText"/>
    <w:uiPriority w:val="99"/>
    <w:semiHidden/>
    <w:locked/>
    <w:rsid w:val="009758E9"/>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C1644C"/>
    <w:rPr>
      <w:b/>
      <w:bCs/>
    </w:rPr>
  </w:style>
  <w:style w:type="character" w:customStyle="1" w:styleId="CommentSubjectChar">
    <w:name w:val="Comment Subject Char"/>
    <w:basedOn w:val="CommentTextChar"/>
    <w:link w:val="CommentSubject"/>
    <w:uiPriority w:val="99"/>
    <w:semiHidden/>
    <w:locked/>
    <w:rsid w:val="009758E9"/>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CA"/>
    <w:pPr>
      <w:spacing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13CFE"/>
    <w:rPr>
      <w:rFonts w:cs="Times New Roman"/>
      <w:color w:val="0000FF"/>
      <w:u w:val="single"/>
    </w:rPr>
  </w:style>
  <w:style w:type="paragraph" w:styleId="BalloonText">
    <w:name w:val="Balloon Text"/>
    <w:basedOn w:val="Normal"/>
    <w:link w:val="BalloonTextChar"/>
    <w:uiPriority w:val="99"/>
    <w:semiHidden/>
    <w:rsid w:val="00713C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3CFE"/>
    <w:rPr>
      <w:rFonts w:ascii="Tahoma" w:hAnsi="Tahoma" w:cs="Tahoma"/>
      <w:sz w:val="16"/>
      <w:szCs w:val="16"/>
    </w:rPr>
  </w:style>
  <w:style w:type="paragraph" w:styleId="NormalWeb">
    <w:name w:val="Normal (Web)"/>
    <w:basedOn w:val="Normal"/>
    <w:uiPriority w:val="99"/>
    <w:rsid w:val="00F85DA5"/>
    <w:pPr>
      <w:spacing w:before="100" w:beforeAutospacing="1" w:after="100" w:afterAutospacing="1" w:line="240" w:lineRule="auto"/>
    </w:pPr>
    <w:rPr>
      <w:rFonts w:ascii="Times New Roman" w:hAnsi="Times New Roman"/>
      <w:sz w:val="24"/>
      <w:szCs w:val="24"/>
      <w:lang w:eastAsia="en-GB"/>
    </w:rPr>
  </w:style>
  <w:style w:type="character" w:styleId="CommentReference">
    <w:name w:val="annotation reference"/>
    <w:basedOn w:val="DefaultParagraphFont"/>
    <w:uiPriority w:val="99"/>
    <w:semiHidden/>
    <w:rsid w:val="00C1644C"/>
    <w:rPr>
      <w:rFonts w:cs="Times New Roman"/>
      <w:sz w:val="16"/>
      <w:szCs w:val="16"/>
    </w:rPr>
  </w:style>
  <w:style w:type="paragraph" w:styleId="CommentText">
    <w:name w:val="annotation text"/>
    <w:basedOn w:val="Normal"/>
    <w:link w:val="CommentTextChar"/>
    <w:uiPriority w:val="99"/>
    <w:semiHidden/>
    <w:rsid w:val="00C1644C"/>
    <w:rPr>
      <w:sz w:val="20"/>
      <w:szCs w:val="20"/>
    </w:rPr>
  </w:style>
  <w:style w:type="character" w:customStyle="1" w:styleId="CommentTextChar">
    <w:name w:val="Comment Text Char"/>
    <w:basedOn w:val="DefaultParagraphFont"/>
    <w:link w:val="CommentText"/>
    <w:uiPriority w:val="99"/>
    <w:semiHidden/>
    <w:locked/>
    <w:rsid w:val="009758E9"/>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C1644C"/>
    <w:rPr>
      <w:b/>
      <w:bCs/>
    </w:rPr>
  </w:style>
  <w:style w:type="character" w:customStyle="1" w:styleId="CommentSubjectChar">
    <w:name w:val="Comment Subject Char"/>
    <w:basedOn w:val="CommentTextChar"/>
    <w:link w:val="CommentSubject"/>
    <w:uiPriority w:val="99"/>
    <w:semiHidden/>
    <w:locked/>
    <w:rsid w:val="009758E9"/>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8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ckford@bptrust.org.uk"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tfund.org/" TargetMode="External"/><Relationship Id="rId4" Type="http://schemas.openxmlformats.org/officeDocument/2006/relationships/settings" Target="settings.xml"/><Relationship Id="rId9" Type="http://schemas.openxmlformats.org/officeDocument/2006/relationships/hyperlink" Target="http://www.nhm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861</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J Abbott</cp:lastModifiedBy>
  <cp:revision>3</cp:revision>
  <dcterms:created xsi:type="dcterms:W3CDTF">2011-11-15T14:39:00Z</dcterms:created>
  <dcterms:modified xsi:type="dcterms:W3CDTF">2012-03-20T12:17:00Z</dcterms:modified>
</cp:coreProperties>
</file>